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D611D8" w:rsidTr="00B155D3">
        <w:tc>
          <w:tcPr>
            <w:tcW w:w="775" w:type="dxa"/>
            <w:vMerge w:val="restart"/>
            <w:textDirection w:val="btLr"/>
          </w:tcPr>
          <w:p w:rsidR="00D611D8" w:rsidRPr="00B55C84" w:rsidRDefault="00D611D8" w:rsidP="00B155D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15 </w:t>
            </w:r>
          </w:p>
        </w:tc>
        <w:tc>
          <w:tcPr>
            <w:tcW w:w="9681" w:type="dxa"/>
            <w:gridSpan w:val="2"/>
          </w:tcPr>
          <w:p w:rsidR="00D611D8" w:rsidRPr="00ED2AA9" w:rsidRDefault="00D611D8" w:rsidP="00B155D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                                                               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</w:t>
            </w:r>
            <w:r>
              <w:rPr>
                <w:rFonts w:ascii="Biko" w:hAnsi="Biko"/>
                <w:color w:val="595959" w:themeColor="text1" w:themeTint="A6"/>
              </w:rPr>
              <w:t xml:space="preserve">un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>bilan 5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:rsidR="00D611D8" w:rsidRPr="00333C24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D611D8" w:rsidRPr="00333C24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D611D8" w:rsidRPr="00333C24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D611D8" w:rsidRPr="00333C24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</w:t>
            </w:r>
            <w:proofErr w:type="gram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faire </w:t>
            </w:r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 au</w:t>
            </w:r>
            <w:proofErr w:type="gramEnd"/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 présent.</w:t>
            </w:r>
          </w:p>
          <w:p w:rsidR="00D611D8" w:rsidRPr="00333C24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D611D8" w:rsidRPr="00B55C84" w:rsidRDefault="00D611D8" w:rsidP="00B155D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333C2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:rsidR="00D611D8" w:rsidRPr="00333C24" w:rsidRDefault="00D611D8" w:rsidP="00B155D3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Laura fait une surprise à son fils Nino.</w:t>
            </w:r>
            <w:r w:rsidRPr="00333C24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:rsidR="00D611D8" w:rsidRPr="00333C24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Laura et Paul font une surprise à leur fils Nino.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:rsidR="00D611D8" w:rsidRPr="00333C24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Laura et Paul font une surprise à leurs enfants. </w:t>
            </w:r>
            <w:r w:rsidRPr="00333C24">
              <w:rPr>
                <w:rFonts w:asciiTheme="majorHAnsi" w:hAnsiTheme="majorHAnsi" w:cstheme="majorHAnsi"/>
                <w:color w:val="595959" w:themeColor="text1" w:themeTint="A6"/>
              </w:rPr>
              <w:t xml:space="preserve"> 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:rsidR="00D611D8" w:rsidRPr="00E452FC" w:rsidRDefault="00D611D8" w:rsidP="00B155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AU CINEMA</w:t>
            </w:r>
          </w:p>
          <w:p w:rsidR="00D611D8" w:rsidRDefault="00D611D8" w:rsidP="00B155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D611D8" w:rsidRPr="00333C24" w:rsidRDefault="00D611D8" w:rsidP="00B155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D611D8" w:rsidTr="00B155D3">
        <w:tc>
          <w:tcPr>
            <w:tcW w:w="775" w:type="dxa"/>
            <w:vMerge w:val="restart"/>
            <w:textDirection w:val="btLr"/>
          </w:tcPr>
          <w:p w:rsidR="00D611D8" w:rsidRPr="00B55C84" w:rsidRDefault="00D611D8" w:rsidP="00B155D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16 </w:t>
            </w:r>
          </w:p>
        </w:tc>
        <w:tc>
          <w:tcPr>
            <w:tcW w:w="9681" w:type="dxa"/>
            <w:gridSpan w:val="2"/>
          </w:tcPr>
          <w:p w:rsidR="00D611D8" w:rsidRPr="00ED2AA9" w:rsidRDefault="00D611D8" w:rsidP="00B155D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gagner – dernier – soigner – grenier – vigne – campagne – panier - magnifique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:rsidR="00D611D8" w:rsidRPr="00DD7627" w:rsidRDefault="00D611D8" w:rsidP="00B155D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D611D8" w:rsidRPr="00B73B56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B73B5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D611D8" w:rsidRPr="00B73B56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B73B5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D611D8" w:rsidRPr="00B73B56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B73B5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B73B5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B73B5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B73B5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B73B5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D611D8" w:rsidRPr="00B73B56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B73B5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D611D8" w:rsidRPr="00B55C84" w:rsidRDefault="00D611D8" w:rsidP="00B155D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B73B5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:rsidR="00D611D8" w:rsidRPr="00B73B56" w:rsidRDefault="00D611D8" w:rsidP="00B155D3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Tina joue à soigner sa poupée.</w:t>
            </w:r>
            <w:r w:rsidRPr="00B73B56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:rsidR="00D611D8" w:rsidRPr="00B73B56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Tina et Roméo jouer à soigner les poupées.</w:t>
            </w:r>
            <w:r w:rsidRPr="00B73B56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:rsidR="00D611D8" w:rsidRPr="00B73B56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Les enfant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>s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et moi jouons à soigner les poupées dans le grenier.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:rsidR="00D611D8" w:rsidRPr="00B73B56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D611D8" w:rsidTr="00B155D3">
        <w:tc>
          <w:tcPr>
            <w:tcW w:w="775" w:type="dxa"/>
            <w:vMerge w:val="restart"/>
            <w:textDirection w:val="btLr"/>
          </w:tcPr>
          <w:p w:rsidR="00D611D8" w:rsidRPr="00B55C84" w:rsidRDefault="00D611D8" w:rsidP="00B155D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17 </w:t>
            </w:r>
          </w:p>
        </w:tc>
        <w:tc>
          <w:tcPr>
            <w:tcW w:w="9681" w:type="dxa"/>
            <w:gridSpan w:val="2"/>
          </w:tcPr>
          <w:p w:rsidR="00D611D8" w:rsidRPr="00ED2AA9" w:rsidRDefault="00D611D8" w:rsidP="00B155D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clé – tablier – préférer – matinée – boulanger – saison – assez - léger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:rsidR="00D611D8" w:rsidRPr="00DD7627" w:rsidRDefault="00D611D8" w:rsidP="00B155D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D611D8" w:rsidRPr="005B70AC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D611D8" w:rsidRPr="005B70AC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D611D8" w:rsidRPr="005B70AC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</w:t>
            </w: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au présent.</w:t>
            </w: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D611D8" w:rsidRPr="005B70AC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D611D8" w:rsidRPr="00B55C84" w:rsidRDefault="00D611D8" w:rsidP="00B155D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:rsidR="00D611D8" w:rsidRPr="005B70AC" w:rsidRDefault="00D611D8" w:rsidP="00B155D3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Je perds souvent mes clés de </w:t>
            </w:r>
            <w:proofErr w:type="gramStart"/>
            <w:r>
              <w:rPr>
                <w:rFonts w:asciiTheme="majorHAnsi" w:hAnsiTheme="majorHAnsi" w:cstheme="majorHAnsi"/>
                <w:color w:val="595959" w:themeColor="text1" w:themeTint="A6"/>
              </w:rPr>
              <w:t>l’école.</w:t>
            </w:r>
            <w:r w:rsidRPr="005B70A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>.</w:t>
            </w:r>
            <w:proofErr w:type="gramEnd"/>
            <w:r w:rsidRPr="005B70A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 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:rsidR="00D611D8" w:rsidRPr="005B70AC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Maël perd souvent ses clés dans </w:t>
            </w:r>
            <w:proofErr w:type="gramStart"/>
            <w:r>
              <w:rPr>
                <w:rFonts w:asciiTheme="majorHAnsi" w:hAnsiTheme="majorHAnsi" w:cstheme="majorHAnsi"/>
                <w:color w:val="595959" w:themeColor="text1" w:themeTint="A6"/>
              </w:rPr>
              <w:t>le jardins</w:t>
            </w:r>
            <w:proofErr w:type="gramEnd"/>
            <w:r>
              <w:rPr>
                <w:rFonts w:asciiTheme="majorHAnsi" w:hAnsiTheme="majorHAnsi" w:cstheme="majorHAnsi"/>
                <w:color w:val="595959" w:themeColor="text1" w:themeTint="A6"/>
              </w:rPr>
              <w:t>.</w:t>
            </w:r>
            <w:r w:rsidRPr="005B70A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:rsidR="00D611D8" w:rsidRPr="005B70AC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Vous perdez souvent vos clés dans vos grands jardins.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:rsidR="00D611D8" w:rsidRPr="005B70AC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D611D8" w:rsidTr="00B155D3">
        <w:tc>
          <w:tcPr>
            <w:tcW w:w="775" w:type="dxa"/>
            <w:vMerge w:val="restart"/>
            <w:textDirection w:val="btLr"/>
          </w:tcPr>
          <w:p w:rsidR="00D611D8" w:rsidRPr="00B55C84" w:rsidRDefault="00D611D8" w:rsidP="00B155D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lastRenderedPageBreak/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18 </w:t>
            </w:r>
          </w:p>
        </w:tc>
        <w:tc>
          <w:tcPr>
            <w:tcW w:w="9681" w:type="dxa"/>
            <w:gridSpan w:val="2"/>
          </w:tcPr>
          <w:p w:rsidR="00D611D8" w:rsidRPr="00ED2AA9" w:rsidRDefault="00D611D8" w:rsidP="00B155D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forêt - mètre – frais – même – rivière – hiver – cher - mais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:rsidR="00D611D8" w:rsidRPr="00DD7627" w:rsidRDefault="00D611D8" w:rsidP="00B155D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D611D8" w:rsidRPr="005B70AC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D611D8" w:rsidRPr="005B70AC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D611D8" w:rsidRPr="005B70AC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D611D8" w:rsidRPr="005B70AC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D611D8" w:rsidRPr="00B55C84" w:rsidRDefault="00D611D8" w:rsidP="00B155D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5B70A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:rsidR="00D611D8" w:rsidRPr="005B70AC" w:rsidRDefault="00D611D8" w:rsidP="00B155D3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J’ai gagné un panier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legumes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>.</w:t>
            </w:r>
            <w:r w:rsidRPr="005B70A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  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:rsidR="00D611D8" w:rsidRPr="005B70AC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Nous avons gagné un grand panier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legumes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bien frais.</w:t>
            </w:r>
            <w:r w:rsidRPr="005B70A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:rsidR="00D611D8" w:rsidRPr="005B70AC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Mes grands-parents ont gagné deux paniers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legumes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bien frais.</w:t>
            </w:r>
            <w:r w:rsidRPr="005B70A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D611D8" w:rsidTr="00B155D3">
        <w:tc>
          <w:tcPr>
            <w:tcW w:w="775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:rsidR="00D611D8" w:rsidRPr="005B70AC" w:rsidRDefault="00D611D8" w:rsidP="00B155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5B70A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AU LOTO</w:t>
            </w:r>
          </w:p>
          <w:p w:rsidR="00D611D8" w:rsidRPr="005B70AC" w:rsidRDefault="00D611D8" w:rsidP="00B155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D611D8" w:rsidTr="00B155D3">
        <w:tc>
          <w:tcPr>
            <w:tcW w:w="790" w:type="dxa"/>
            <w:vMerge w:val="restart"/>
            <w:textDirection w:val="btLr"/>
          </w:tcPr>
          <w:p w:rsidR="00D611D8" w:rsidRPr="00B55C84" w:rsidRDefault="00D611D8" w:rsidP="00B155D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19 </w:t>
            </w:r>
          </w:p>
        </w:tc>
        <w:tc>
          <w:tcPr>
            <w:tcW w:w="9666" w:type="dxa"/>
            <w:gridSpan w:val="2"/>
          </w:tcPr>
          <w:p w:rsidR="00D611D8" w:rsidRPr="00ED2AA9" w:rsidRDefault="00D611D8" w:rsidP="00B155D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Biko" w:hAnsi="Biko"/>
                <w:color w:val="595959" w:themeColor="text1" w:themeTint="A6"/>
              </w:rPr>
              <w:t xml:space="preserve">une                                                                                                    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Synthèse</w:t>
            </w:r>
          </w:p>
        </w:tc>
      </w:tr>
      <w:tr w:rsidR="00D611D8" w:rsidTr="00B155D3">
        <w:tc>
          <w:tcPr>
            <w:tcW w:w="790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D611D8" w:rsidRPr="00DD7627" w:rsidRDefault="00D611D8" w:rsidP="00B155D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D611D8" w:rsidRPr="00D40D6A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D40D6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D611D8" w:rsidRPr="00D40D6A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D40D6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D611D8" w:rsidRPr="00D40D6A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D40D6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D40D6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D40D6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D40D6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D40D6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D611D8" w:rsidRPr="00D40D6A" w:rsidRDefault="00D611D8" w:rsidP="00B155D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D40D6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D611D8" w:rsidRPr="00B55C84" w:rsidRDefault="00D611D8" w:rsidP="00B155D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D40D6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D611D8" w:rsidTr="00B155D3">
        <w:tc>
          <w:tcPr>
            <w:tcW w:w="790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vMerge w:val="restart"/>
          </w:tcPr>
          <w:p w:rsidR="00D611D8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</w:p>
          <w:p w:rsidR="00D611D8" w:rsidRPr="00D40D6A" w:rsidRDefault="00D611D8" w:rsidP="00B155D3">
            <w:pPr>
              <w:pStyle w:val="Paragraphestandard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                                              </w:t>
            </w:r>
            <w:r w:rsidRPr="00E452FC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  <w:r w:rsidRPr="00C85506">
              <w:rPr>
                <w:rFonts w:ascii="KG Blank Space Sketch" w:hAnsi="KG Blank Space Sketch" w:cstheme="majorHAnsi"/>
                <w:color w:val="FF0066"/>
              </w:rPr>
              <w:t>Evaluation de phono n</w:t>
            </w:r>
            <w:r w:rsidRPr="00C85506">
              <w:rPr>
                <w:rFonts w:ascii="Cambria" w:hAnsi="Cambria" w:cs="Cambria"/>
                <w:color w:val="FF0066"/>
              </w:rPr>
              <w:t>°</w:t>
            </w:r>
            <w:r>
              <w:rPr>
                <w:rFonts w:ascii="KG Blank Space Sketch" w:hAnsi="KG Blank Space Sketch" w:cstheme="majorHAnsi"/>
                <w:color w:val="FF0066"/>
              </w:rPr>
              <w:t>3</w:t>
            </w:r>
            <w:r w:rsidRPr="00D40D6A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D611D8" w:rsidTr="00B155D3">
        <w:tc>
          <w:tcPr>
            <w:tcW w:w="790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vMerge/>
          </w:tcPr>
          <w:p w:rsidR="00D611D8" w:rsidRPr="00D40D6A" w:rsidRDefault="00D611D8" w:rsidP="00B155D3">
            <w:pPr>
              <w:pStyle w:val="Paragraphestandard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</w:p>
        </w:tc>
      </w:tr>
      <w:tr w:rsidR="00D611D8" w:rsidTr="00B155D3">
        <w:tc>
          <w:tcPr>
            <w:tcW w:w="790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vMerge/>
          </w:tcPr>
          <w:p w:rsidR="00D611D8" w:rsidRPr="00D40D6A" w:rsidRDefault="00D611D8" w:rsidP="00B155D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</w:p>
        </w:tc>
      </w:tr>
      <w:tr w:rsidR="00D611D8" w:rsidTr="00B155D3">
        <w:tc>
          <w:tcPr>
            <w:tcW w:w="790" w:type="dxa"/>
            <w:vMerge/>
          </w:tcPr>
          <w:p w:rsidR="00D611D8" w:rsidRPr="00B55C84" w:rsidRDefault="00D611D8" w:rsidP="00B155D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D611D8" w:rsidRPr="00B74B09" w:rsidRDefault="00D611D8" w:rsidP="00B155D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D611D8" w:rsidRPr="00D40D6A" w:rsidRDefault="00D611D8" w:rsidP="00B155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D40D6A">
              <w:rPr>
                <w:rFonts w:asciiTheme="majorHAnsi" w:hAnsiTheme="majorHAnsi" w:cstheme="majorHAnsi"/>
                <w:b/>
                <w:color w:val="595959" w:themeColor="text1" w:themeTint="A6"/>
                <w:sz w:val="24"/>
                <w:szCs w:val="24"/>
                <w:lang w:val="en-US"/>
              </w:rPr>
              <w:t>AU GRENIER</w:t>
            </w:r>
          </w:p>
          <w:p w:rsidR="00D611D8" w:rsidRPr="00D40D6A" w:rsidRDefault="00D611D8" w:rsidP="00B155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p w:rsidR="00D611D8" w:rsidRDefault="00D611D8" w:rsidP="00D611D8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p w:rsidR="00CE5B1B" w:rsidRDefault="00CE5B1B"/>
    <w:sectPr w:rsidR="00CE5B1B" w:rsidSect="00D61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00000042" w:usb2="00000000" w:usb3="00000000" w:csb0="00000003" w:csb1="00000000"/>
  </w:font>
  <w:font w:name="DJB Sticky Tape Labels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D8"/>
    <w:rsid w:val="00CE5B1B"/>
    <w:rsid w:val="00D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4DF8"/>
  <w15:chartTrackingRefBased/>
  <w15:docId w15:val="{B18BC89B-FA18-4BB1-A0DE-F8D97E23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611D8"/>
  </w:style>
  <w:style w:type="table" w:styleId="Grilledutableau">
    <w:name w:val="Table Grid"/>
    <w:basedOn w:val="TableauNormal"/>
    <w:uiPriority w:val="39"/>
    <w:rsid w:val="00D6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2018-12-30T09:58:00Z</dcterms:created>
  <dcterms:modified xsi:type="dcterms:W3CDTF">2018-12-30T10:04:00Z</dcterms:modified>
</cp:coreProperties>
</file>